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Making a Real Difference Together</w:t>
      </w:r>
    </w:p>
    <w:p w:rsidR="00000000" w:rsidDel="00000000" w:rsidP="00000000" w:rsidRDefault="00000000" w:rsidRPr="00000000" w14:paraId="00000002">
      <w:pPr>
        <w:spacing w:after="240" w:before="240" w:lineRule="auto"/>
        <w:rPr/>
      </w:pPr>
      <w:r w:rsidDel="00000000" w:rsidR="00000000" w:rsidRPr="00000000">
        <w:rPr>
          <w:rtl w:val="0"/>
        </w:rPr>
        <w:t xml:space="preserve">Over the past 2 years, the generosity and support of our parent community have made a meaningful and lasting impact on the life of our school. Thanks to your fundraising efforts, we have been able to invest directly in opportunities, resources, and experiences that benefit our young people across a wide range of subjects and activities.</w:t>
      </w:r>
    </w:p>
    <w:p w:rsidR="00000000" w:rsidDel="00000000" w:rsidP="00000000" w:rsidRDefault="00000000" w:rsidRPr="00000000" w14:paraId="00000003">
      <w:pPr>
        <w:spacing w:after="240" w:before="240" w:lineRule="auto"/>
        <w:rPr/>
      </w:pPr>
      <w:r w:rsidDel="00000000" w:rsidR="00000000" w:rsidRPr="00000000">
        <w:rPr>
          <w:rtl w:val="0"/>
        </w:rPr>
        <w:t xml:space="preserve">In total, more than </w:t>
      </w:r>
      <w:r w:rsidDel="00000000" w:rsidR="00000000" w:rsidRPr="00000000">
        <w:rPr>
          <w:b w:val="1"/>
          <w:bCs w:val="1"/>
          <w:rtl w:val="0"/>
        </w:rPr>
        <w:t xml:space="preserve">£14,417.32</w:t>
      </w:r>
      <w:r w:rsidDel="00000000" w:rsidR="00000000" w:rsidRPr="00000000">
        <w:rPr>
          <w:rtl w:val="0"/>
        </w:rPr>
        <w:t xml:space="preserve"> has been distributed to support student learning, wellbeing, and enrichment . This funding has touched nearly every corner of the school, ensuring that pupils have access to the tools and experiences they need to thrive.</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q6czc11t6k30" w:id="0"/>
      <w:bookmarkEnd w:id="0"/>
      <w:r w:rsidDel="00000000" w:rsidR="00000000" w:rsidRPr="00000000">
        <w:rPr>
          <w:b w:val="1"/>
          <w:bCs w:val="1"/>
          <w:color w:val="000000"/>
          <w:sz w:val="26"/>
          <w:szCs w:val="26"/>
          <w:rtl w:val="0"/>
        </w:rPr>
        <w:t xml:space="preserve">Supporting Learning Across the Curriculum</w:t>
      </w:r>
    </w:p>
    <w:p w:rsidR="00000000" w:rsidDel="00000000" w:rsidP="00000000" w:rsidRDefault="00000000" w:rsidRPr="00000000" w14:paraId="00000005">
      <w:pPr>
        <w:spacing w:after="240" w:before="240" w:lineRule="auto"/>
        <w:rPr/>
      </w:pPr>
      <w:r w:rsidDel="00000000" w:rsidR="00000000" w:rsidRPr="00000000">
        <w:rPr>
          <w:rtl w:val="0"/>
        </w:rPr>
        <w:t xml:space="preserve">Your contributions have enhanced learning in classrooms and beyond. Departments have been able to purchase specialist equipment such as:</w:t>
      </w:r>
    </w:p>
    <w:p w:rsidR="00000000" w:rsidDel="00000000" w:rsidP="00000000" w:rsidRDefault="00000000" w:rsidRPr="00000000" w14:paraId="00000006">
      <w:pPr>
        <w:numPr>
          <w:ilvl w:val="0"/>
          <w:numId w:val="4"/>
        </w:numPr>
        <w:spacing w:after="0" w:afterAutospacing="0" w:before="240" w:lineRule="auto"/>
        <w:ind w:left="720" w:hanging="360"/>
      </w:pPr>
      <w:r w:rsidDel="00000000" w:rsidR="00000000" w:rsidRPr="00000000">
        <w:rPr>
          <w:rtl w:val="0"/>
        </w:rPr>
        <w:t xml:space="preserve">Cameras for the Camera Club, enabling students to develop creative and technical photography skills</w:t>
      </w:r>
    </w:p>
    <w:p w:rsidR="00000000" w:rsidDel="00000000" w:rsidP="00000000" w:rsidRDefault="00000000" w:rsidRPr="00000000" w14:paraId="00000007">
      <w:pPr>
        <w:numPr>
          <w:ilvl w:val="0"/>
          <w:numId w:val="4"/>
        </w:numPr>
        <w:spacing w:after="0" w:afterAutospacing="0" w:before="0" w:beforeAutospacing="0" w:lineRule="auto"/>
        <w:ind w:left="720" w:hanging="360"/>
      </w:pPr>
      <w:r w:rsidDel="00000000" w:rsidR="00000000" w:rsidRPr="00000000">
        <w:rPr>
          <w:rtl w:val="0"/>
        </w:rPr>
        <w:t xml:space="preserve">A new keyboard for the Music Department, enriching performance and composition opportunities</w:t>
      </w:r>
    </w:p>
    <w:p w:rsidR="00000000" w:rsidDel="00000000" w:rsidP="00000000" w:rsidRDefault="00000000" w:rsidRPr="00000000" w14:paraId="00000008">
      <w:pPr>
        <w:numPr>
          <w:ilvl w:val="0"/>
          <w:numId w:val="4"/>
        </w:numPr>
        <w:spacing w:after="0" w:afterAutospacing="0" w:before="0" w:beforeAutospacing="0" w:lineRule="auto"/>
        <w:ind w:left="720" w:hanging="360"/>
      </w:pPr>
      <w:r w:rsidDel="00000000" w:rsidR="00000000" w:rsidRPr="00000000">
        <w:rPr>
          <w:rtl w:val="0"/>
        </w:rPr>
        <w:t xml:space="preserve">DigiMaps subscriptions, supporting Geography coursework and Duke of Edinburgh route planning</w:t>
      </w:r>
    </w:p>
    <w:p w:rsidR="00000000" w:rsidDel="00000000" w:rsidP="00000000" w:rsidRDefault="00000000" w:rsidRPr="00000000" w14:paraId="00000009">
      <w:pPr>
        <w:numPr>
          <w:ilvl w:val="0"/>
          <w:numId w:val="4"/>
        </w:numPr>
        <w:spacing w:after="240" w:before="0" w:beforeAutospacing="0" w:lineRule="auto"/>
        <w:ind w:left="720" w:hanging="360"/>
      </w:pPr>
      <w:r w:rsidDel="00000000" w:rsidR="00000000" w:rsidRPr="00000000">
        <w:rPr>
          <w:rtl w:val="0"/>
        </w:rPr>
        <w:t xml:space="preserve">Art exhibition boards, helping students professionally present their work</w:t>
      </w:r>
    </w:p>
    <w:p w:rsidR="00000000" w:rsidDel="00000000" w:rsidP="00000000" w:rsidRDefault="00000000" w:rsidRPr="00000000" w14:paraId="0000000A">
      <w:pPr>
        <w:spacing w:after="240" w:before="240" w:lineRule="auto"/>
        <w:rPr/>
      </w:pPr>
      <w:r w:rsidDel="00000000" w:rsidR="00000000" w:rsidRPr="00000000">
        <w:rPr>
          <w:rtl w:val="0"/>
        </w:rPr>
        <w:t xml:space="preserve">Clubs like Junk Kouture, Girls in STEM, and the F1 project have also benefited from funding for materials and equipment, empowering pupils to explore creativity, innovation, and problem-solving.</w:t>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2qg89m4rw58a" w:id="1"/>
      <w:bookmarkEnd w:id="1"/>
      <w:r w:rsidDel="00000000" w:rsidR="00000000" w:rsidRPr="00000000">
        <w:rPr>
          <w:b w:val="1"/>
          <w:bCs w:val="1"/>
          <w:color w:val="000000"/>
          <w:sz w:val="26"/>
          <w:szCs w:val="26"/>
          <w:rtl w:val="0"/>
        </w:rPr>
        <w:t xml:space="preserve">Expanding Opportunities Beyond the Classroom</w:t>
      </w:r>
    </w:p>
    <w:p w:rsidR="00000000" w:rsidDel="00000000" w:rsidP="00000000" w:rsidRDefault="00000000" w:rsidRPr="00000000" w14:paraId="0000000C">
      <w:pPr>
        <w:spacing w:after="240" w:before="240" w:lineRule="auto"/>
        <w:rPr/>
      </w:pPr>
      <w:r w:rsidDel="00000000" w:rsidR="00000000" w:rsidRPr="00000000">
        <w:rPr>
          <w:rtl w:val="0"/>
        </w:rPr>
        <w:t xml:space="preserve">Fundraising has enabled a wide range of extracurricular activities to flourish. From sports teams receiving new kits and equipment, to clubs like fencing, athletics, and tennis gaining specialist support, more pupils can now participate, compete, and develop confidence.</w:t>
      </w:r>
    </w:p>
    <w:p w:rsidR="00000000" w:rsidDel="00000000" w:rsidP="00000000" w:rsidRDefault="00000000" w:rsidRPr="00000000" w14:paraId="0000000D">
      <w:pPr>
        <w:spacing w:after="240" w:before="240" w:lineRule="auto"/>
        <w:rPr/>
      </w:pPr>
      <w:r w:rsidDel="00000000" w:rsidR="00000000" w:rsidRPr="00000000">
        <w:rPr>
          <w:rtl w:val="0"/>
        </w:rPr>
        <w:t xml:space="preserve">We have also supported:</w:t>
      </w:r>
    </w:p>
    <w:p w:rsidR="00000000" w:rsidDel="00000000" w:rsidP="00000000" w:rsidRDefault="00000000" w:rsidRPr="00000000" w14:paraId="0000000E">
      <w:pPr>
        <w:numPr>
          <w:ilvl w:val="0"/>
          <w:numId w:val="3"/>
        </w:numPr>
        <w:spacing w:after="0" w:afterAutospacing="0" w:before="240" w:lineRule="auto"/>
        <w:ind w:left="720" w:hanging="360"/>
      </w:pPr>
      <w:r w:rsidDel="00000000" w:rsidR="00000000" w:rsidRPr="00000000">
        <w:rPr>
          <w:rtl w:val="0"/>
        </w:rPr>
        <w:t xml:space="preserve">The Breakfast Club, which plays a vital role in improving attendance and readiness to learn</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The Barista Team and Hospitality Club, helping students build real-world skills</w:t>
      </w:r>
    </w:p>
    <w:p w:rsidR="00000000" w:rsidDel="00000000" w:rsidP="00000000" w:rsidRDefault="00000000" w:rsidRPr="00000000" w14:paraId="00000010">
      <w:pPr>
        <w:numPr>
          <w:ilvl w:val="0"/>
          <w:numId w:val="3"/>
        </w:numPr>
        <w:spacing w:after="240" w:before="0" w:beforeAutospacing="0" w:lineRule="auto"/>
        <w:ind w:left="720" w:hanging="360"/>
      </w:pPr>
      <w:r w:rsidDel="00000000" w:rsidR="00000000" w:rsidRPr="00000000">
        <w:rPr>
          <w:rtl w:val="0"/>
        </w:rPr>
        <w:t xml:space="preserve">The European Youth Parliament event, giving pupils a platform to engage in wider discussions and represent the school</w:t>
      </w:r>
    </w:p>
    <w:p w:rsidR="00000000" w:rsidDel="00000000" w:rsidP="00000000" w:rsidRDefault="00000000" w:rsidRPr="00000000" w14:paraId="00000011">
      <w:pPr>
        <w:spacing w:after="240" w:before="240" w:lineRule="auto"/>
        <w:rPr/>
      </w:pPr>
      <w:r w:rsidDel="00000000" w:rsidR="00000000" w:rsidRPr="00000000">
        <w:rPr>
          <w:rtl w:val="0"/>
        </w:rPr>
        <w:t xml:space="preserve">These opportunities are invaluable in helping young people discover interests, build friendships, and develop life skills.</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qvbg4clbemrj" w:id="2"/>
      <w:bookmarkEnd w:id="2"/>
      <w:r w:rsidDel="00000000" w:rsidR="00000000" w:rsidRPr="00000000">
        <w:rPr>
          <w:b w:val="1"/>
          <w:bCs w:val="1"/>
          <w:color w:val="000000"/>
          <w:sz w:val="26"/>
          <w:szCs w:val="26"/>
          <w:rtl w:val="0"/>
        </w:rPr>
        <w:t xml:space="preserve">Prioritising Wellbeing and Inclusion</w:t>
      </w:r>
    </w:p>
    <w:p w:rsidR="00000000" w:rsidDel="00000000" w:rsidP="00000000" w:rsidRDefault="00000000" w:rsidRPr="00000000" w14:paraId="00000013">
      <w:pPr>
        <w:spacing w:after="240" w:before="240" w:lineRule="auto"/>
        <w:rPr/>
      </w:pPr>
      <w:r w:rsidDel="00000000" w:rsidR="00000000" w:rsidRPr="00000000">
        <w:rPr>
          <w:rtl w:val="0"/>
        </w:rPr>
        <w:t xml:space="preserve">A significant portion of funding has been directed towards pupil wellbeing, an area we know is more important than ever. Contributions have supported:</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Monthly wellbeing events and activities</w:t>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Counselling resources such as therapeutic sand trays</w:t>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Yoga sessions and wellbeing workshops</w:t>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rtl w:val="0"/>
        </w:rPr>
        <w:t xml:space="preserve">Multicultural and Rights Respecting Schools initiatives</w:t>
      </w:r>
    </w:p>
    <w:p w:rsidR="00000000" w:rsidDel="00000000" w:rsidP="00000000" w:rsidRDefault="00000000" w:rsidRPr="00000000" w14:paraId="00000018">
      <w:pPr>
        <w:spacing w:after="240" w:before="240" w:lineRule="auto"/>
        <w:rPr/>
      </w:pPr>
      <w:r w:rsidDel="00000000" w:rsidR="00000000" w:rsidRPr="00000000">
        <w:rPr>
          <w:rtl w:val="0"/>
        </w:rPr>
        <w:t xml:space="preserve">These projects ensure that every young person feels supported, included, and able to express themselves in a safe environment.</w:t>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eohb1fiapd65" w:id="3"/>
      <w:bookmarkEnd w:id="3"/>
      <w:r w:rsidDel="00000000" w:rsidR="00000000" w:rsidRPr="00000000">
        <w:rPr>
          <w:b w:val="1"/>
          <w:bCs w:val="1"/>
          <w:color w:val="000000"/>
          <w:sz w:val="26"/>
          <w:szCs w:val="26"/>
          <w:rtl w:val="0"/>
        </w:rPr>
        <w:t xml:space="preserve">Why Fundraising Matters</w:t>
      </w:r>
    </w:p>
    <w:p w:rsidR="00000000" w:rsidDel="00000000" w:rsidP="00000000" w:rsidRDefault="00000000" w:rsidRPr="00000000" w14:paraId="0000001A">
      <w:pPr>
        <w:spacing w:after="240" w:before="240" w:lineRule="auto"/>
        <w:rPr/>
      </w:pPr>
      <w:r w:rsidDel="00000000" w:rsidR="00000000" w:rsidRPr="00000000">
        <w:rPr>
          <w:rtl w:val="0"/>
        </w:rPr>
        <w:t xml:space="preserve">What is clear from all of these projects is that fundraising is not just about money, it is about opportunity.</w:t>
      </w:r>
    </w:p>
    <w:p w:rsidR="00000000" w:rsidDel="00000000" w:rsidP="00000000" w:rsidRDefault="00000000" w:rsidRPr="00000000" w14:paraId="0000001B">
      <w:pPr>
        <w:spacing w:after="240" w:before="240" w:lineRule="auto"/>
        <w:rPr/>
      </w:pPr>
      <w:r w:rsidDel="00000000" w:rsidR="00000000" w:rsidRPr="00000000">
        <w:rPr>
          <w:rtl w:val="0"/>
        </w:rPr>
        <w:t xml:space="preserve">It allows us to:</w:t>
      </w:r>
    </w:p>
    <w:p w:rsidR="00000000" w:rsidDel="00000000" w:rsidP="00000000" w:rsidRDefault="00000000" w:rsidRPr="00000000" w14:paraId="0000001C">
      <w:pPr>
        <w:numPr>
          <w:ilvl w:val="0"/>
          <w:numId w:val="2"/>
        </w:numPr>
        <w:spacing w:after="0" w:afterAutospacing="0" w:before="240" w:lineRule="auto"/>
        <w:ind w:left="720" w:hanging="360"/>
      </w:pPr>
      <w:r w:rsidDel="00000000" w:rsidR="00000000" w:rsidRPr="00000000">
        <w:rPr>
          <w:rtl w:val="0"/>
        </w:rPr>
        <w:t xml:space="preserve">Provide experiences that go beyond core funding</w:t>
      </w:r>
    </w:p>
    <w:p w:rsidR="00000000" w:rsidDel="00000000" w:rsidP="00000000" w:rsidRDefault="00000000" w:rsidRPr="00000000" w14:paraId="0000001D">
      <w:pPr>
        <w:numPr>
          <w:ilvl w:val="0"/>
          <w:numId w:val="2"/>
        </w:numPr>
        <w:spacing w:after="0" w:afterAutospacing="0" w:before="0" w:beforeAutospacing="0" w:lineRule="auto"/>
        <w:ind w:left="720" w:hanging="360"/>
      </w:pPr>
      <w:r w:rsidDel="00000000" w:rsidR="00000000" w:rsidRPr="00000000">
        <w:rPr>
          <w:rtl w:val="0"/>
        </w:rPr>
        <w:t xml:space="preserve">Support inclusion so that all pupils can participate, regardless of circumstances</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tl w:val="0"/>
        </w:rPr>
        <w:t xml:space="preserve">Encourage creativity, confidence, and wellbeing</w:t>
      </w:r>
    </w:p>
    <w:p w:rsidR="00000000" w:rsidDel="00000000" w:rsidP="00000000" w:rsidRDefault="00000000" w:rsidRPr="00000000" w14:paraId="0000001F">
      <w:pPr>
        <w:numPr>
          <w:ilvl w:val="0"/>
          <w:numId w:val="2"/>
        </w:numPr>
        <w:spacing w:after="240" w:before="0" w:beforeAutospacing="0" w:lineRule="auto"/>
        <w:ind w:left="720" w:hanging="360"/>
      </w:pPr>
      <w:r w:rsidDel="00000000" w:rsidR="00000000" w:rsidRPr="00000000">
        <w:rPr>
          <w:rtl w:val="0"/>
        </w:rPr>
        <w:t xml:space="preserve">Respond quickly to student-led ideas and initiatives</w:t>
      </w:r>
    </w:p>
    <w:p w:rsidR="00000000" w:rsidDel="00000000" w:rsidP="00000000" w:rsidRDefault="00000000" w:rsidRPr="00000000" w14:paraId="00000020">
      <w:pPr>
        <w:spacing w:after="240" w:before="240" w:lineRule="auto"/>
        <w:rPr/>
      </w:pPr>
      <w:r w:rsidDel="00000000" w:rsidR="00000000" w:rsidRPr="00000000">
        <w:rPr>
          <w:rtl w:val="0"/>
        </w:rPr>
        <w:t xml:space="preserve">Quite simply, fundraising helps us say “yes” more often, to new ideas, to student ambition, and to opportunities that make school life richer and more engaging.</w:t>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o2um2qwb907x" w:id="4"/>
      <w:bookmarkEnd w:id="4"/>
      <w:r w:rsidDel="00000000" w:rsidR="00000000" w:rsidRPr="00000000">
        <w:rPr>
          <w:b w:val="1"/>
          <w:bCs w:val="1"/>
          <w:color w:val="000000"/>
          <w:sz w:val="26"/>
          <w:szCs w:val="26"/>
          <w:rtl w:val="0"/>
        </w:rPr>
        <w:t xml:space="preserve">Thank You</w:t>
      </w:r>
    </w:p>
    <w:p w:rsidR="00000000" w:rsidDel="00000000" w:rsidP="00000000" w:rsidRDefault="00000000" w:rsidRPr="00000000" w14:paraId="00000022">
      <w:pPr>
        <w:spacing w:after="240" w:before="240" w:lineRule="auto"/>
        <w:rPr/>
      </w:pPr>
      <w:r w:rsidDel="00000000" w:rsidR="00000000" w:rsidRPr="00000000">
        <w:rPr>
          <w:rtl w:val="0"/>
        </w:rPr>
        <w:t xml:space="preserve">We are incredibly grateful to every parent, carer, and supporter who has contributed, whether through attending events, volunteering time, or donating. Your support has a direct and visible impact on our students every single day.</w:t>
      </w:r>
    </w:p>
    <w:p w:rsidR="00000000" w:rsidDel="00000000" w:rsidP="00000000" w:rsidRDefault="00000000" w:rsidRPr="00000000" w14:paraId="00000023">
      <w:pPr>
        <w:spacing w:after="240" w:before="240" w:lineRule="auto"/>
        <w:rPr/>
      </w:pPr>
      <w:r w:rsidDel="00000000" w:rsidR="00000000" w:rsidRPr="00000000">
        <w:rPr>
          <w:rtl w:val="0"/>
        </w:rPr>
        <w:t xml:space="preserve">As we look ahead, we hope to continue building on this momentum. With your continued support, we can keep enhancing the experiences we offer and ensure that Firrhill remains a place where every young person can succeed and feel valued.</w:t>
      </w:r>
    </w:p>
    <w:p w:rsidR="00000000" w:rsidDel="00000000" w:rsidP="00000000" w:rsidRDefault="00000000" w:rsidRPr="00000000" w14:paraId="00000024">
      <w:pPr>
        <w:spacing w:after="240" w:before="240" w:lineRule="auto"/>
        <w:rPr/>
      </w:pPr>
      <w:r w:rsidDel="00000000" w:rsidR="00000000" w:rsidRPr="00000000">
        <w:rPr>
          <w:rtl w:val="0"/>
        </w:rPr>
        <w:t xml:space="preserve">Thank you for being such an important part of our school community.</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